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01216B" w:rsidRDefault="0001216B">
      <w:pPr>
        <w:jc w:val="center"/>
      </w:pP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r>
        <w:rPr>
          <w:rFonts w:ascii="Times New Roman" w:hAnsi="Times New Roman" w:cs="Times New Roman"/>
          <w:b/>
        </w:rPr>
        <w:t>М</w:t>
      </w:r>
      <w:proofErr w:type="spellEnd"/>
      <w:r>
        <w:rPr>
          <w:rFonts w:ascii="Times New Roman" w:hAnsi="Times New Roman" w:cs="Times New Roman"/>
          <w:b/>
        </w:rPr>
        <w:t xml:space="preserve"> А</w:t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>УЧЕБНОЙ ДИСЦИПЛИНЫ</w:t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01216B" w:rsidRPr="00D61BA5" w:rsidRDefault="00C42539">
      <w:pPr>
        <w:jc w:val="center"/>
      </w:pPr>
      <w:r>
        <w:rPr>
          <w:rFonts w:ascii="Times New Roman" w:hAnsi="Times New Roman" w:cs="Times New Roman"/>
        </w:rPr>
        <w:t>Введение в гладкие динамические системы</w:t>
      </w:r>
      <w:r w:rsidR="007901AC">
        <w:rPr>
          <w:rFonts w:ascii="Times New Roman" w:hAnsi="Times New Roman" w:cs="Times New Roman"/>
        </w:rPr>
        <w:t xml:space="preserve"> (</w:t>
      </w:r>
      <w:proofErr w:type="spellStart"/>
      <w:r w:rsidR="007901AC">
        <w:rPr>
          <w:rFonts w:ascii="Times New Roman" w:hAnsi="Times New Roman" w:cs="Times New Roman"/>
        </w:rPr>
        <w:t>осн</w:t>
      </w:r>
      <w:proofErr w:type="spellEnd"/>
      <w:r w:rsidR="007901AC">
        <w:rPr>
          <w:rFonts w:ascii="Times New Roman" w:hAnsi="Times New Roman" w:cs="Times New Roman"/>
        </w:rPr>
        <w:t xml:space="preserve"> курс), </w:t>
      </w:r>
      <w:proofErr w:type="spellStart"/>
      <w:r w:rsidR="007901AC">
        <w:rPr>
          <w:rFonts w:ascii="Times New Roman" w:hAnsi="Times New Roman" w:cs="Times New Roman"/>
        </w:rPr>
        <w:t>тр</w:t>
      </w:r>
      <w:proofErr w:type="spellEnd"/>
      <w:r w:rsidR="007901AC">
        <w:rPr>
          <w:rFonts w:ascii="Times New Roman" w:hAnsi="Times New Roman" w:cs="Times New Roman"/>
        </w:rPr>
        <w:t xml:space="preserve"> 5</w:t>
      </w:r>
      <w:r w:rsidR="00F3052E">
        <w:rPr>
          <w:rFonts w:ascii="Times New Roman" w:hAnsi="Times New Roman" w:cs="Times New Roman"/>
        </w:rPr>
        <w:t>-8</w:t>
      </w:r>
      <w:r w:rsidR="007901AC">
        <w:rPr>
          <w:rFonts w:ascii="Times New Roman" w:hAnsi="Times New Roman" w:cs="Times New Roman"/>
        </w:rPr>
        <w:t xml:space="preserve"> сем</w:t>
      </w:r>
    </w:p>
    <w:p w:rsidR="0001216B" w:rsidRPr="00D30F3F" w:rsidRDefault="00D81127">
      <w:pPr>
        <w:jc w:val="center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Introduction to </w:t>
      </w:r>
      <w:r w:rsidR="00C42539">
        <w:rPr>
          <w:rFonts w:ascii="Times New Roman" w:hAnsi="Times New Roman" w:cs="Times New Roman"/>
          <w:lang w:val="en-US"/>
        </w:rPr>
        <w:t>Smooth Dynamical Systems</w:t>
      </w:r>
    </w:p>
    <w:p w:rsidR="0001216B" w:rsidRPr="00D30F3F" w:rsidRDefault="00AF0781">
      <w:pPr>
        <w:jc w:val="center"/>
        <w:rPr>
          <w:lang w:val="en-US"/>
        </w:rPr>
      </w:pPr>
      <w:r w:rsidRPr="00D30F3F">
        <w:rPr>
          <w:lang w:val="en-US"/>
        </w:rPr>
        <w:br/>
      </w:r>
    </w:p>
    <w:p w:rsidR="0001216B" w:rsidRPr="00D30F3F" w:rsidRDefault="00AF0781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</w:rPr>
        <w:t>Язык</w:t>
      </w:r>
      <w:r w:rsidRPr="00D30F3F"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и</w:t>
      </w:r>
      <w:r w:rsidRPr="00D30F3F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01216B" w:rsidRPr="00D30F3F" w:rsidRDefault="00AF0781">
      <w:pPr>
        <w:jc w:val="center"/>
        <w:rPr>
          <w:lang w:val="en-US"/>
        </w:rPr>
      </w:pPr>
      <w:r w:rsidRPr="00D30F3F">
        <w:rPr>
          <w:rFonts w:ascii="Times New Roman" w:hAnsi="Times New Roman" w:cs="Times New Roman"/>
          <w:b/>
          <w:lang w:val="en-US"/>
        </w:rPr>
        <w:t xml:space="preserve"> </w:t>
      </w:r>
    </w:p>
    <w:p w:rsidR="0001216B" w:rsidRPr="00C42539" w:rsidRDefault="00AF0781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01216B" w:rsidRPr="00C42539" w:rsidRDefault="0001216B"/>
    <w:p w:rsidR="0001216B" w:rsidRPr="00C42539" w:rsidRDefault="0001216B"/>
    <w:p w:rsidR="0001216B" w:rsidRDefault="00AF0781">
      <w:pPr>
        <w:jc w:val="right"/>
      </w:pPr>
      <w:r>
        <w:rPr>
          <w:rFonts w:ascii="Times New Roman" w:hAnsi="Times New Roman" w:cs="Times New Roman"/>
        </w:rPr>
        <w:t>Тру</w:t>
      </w:r>
      <w:r w:rsidR="00D81127">
        <w:rPr>
          <w:rFonts w:ascii="Times New Roman" w:hAnsi="Times New Roman" w:cs="Times New Roman"/>
        </w:rPr>
        <w:t>доемкость в зачетных единицах: 3</w:t>
      </w:r>
    </w:p>
    <w:p w:rsidR="0001216B" w:rsidRDefault="00AF0781">
      <w:r>
        <w:rPr>
          <w:rFonts w:ascii="Times New Roman" w:hAnsi="Times New Roman" w:cs="Times New Roman"/>
        </w:rPr>
        <w:t xml:space="preserve"> </w:t>
      </w:r>
    </w:p>
    <w:p w:rsidR="0001216B" w:rsidRPr="007A10F4" w:rsidRDefault="00AF0781">
      <w:pPr>
        <w:jc w:val="right"/>
      </w:pPr>
      <w:r>
        <w:rPr>
          <w:rFonts w:ascii="Times New Roman" w:hAnsi="Times New Roman" w:cs="Times New Roman"/>
        </w:rPr>
        <w:t>Регистрационный</w:t>
      </w:r>
      <w:r w:rsidR="00C42539">
        <w:rPr>
          <w:rFonts w:ascii="Times New Roman" w:hAnsi="Times New Roman" w:cs="Times New Roman"/>
        </w:rPr>
        <w:t xml:space="preserve"> номер рабочей программы: </w:t>
      </w:r>
      <w:r w:rsidR="00F3052E">
        <w:rPr>
          <w:rFonts w:ascii="Times New Roman" w:hAnsi="Times New Roman" w:cs="Times New Roman"/>
        </w:rPr>
        <w:t>053596</w:t>
      </w:r>
    </w:p>
    <w:p w:rsidR="0001216B" w:rsidRDefault="00AF0781">
      <w:r>
        <w:rPr>
          <w:rFonts w:ascii="Times New Roman" w:hAnsi="Times New Roman" w:cs="Times New Roman"/>
        </w:rPr>
        <w:t xml:space="preserve"> </w:t>
      </w:r>
    </w:p>
    <w:p w:rsidR="0001216B" w:rsidRDefault="00AF0781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01216B" w:rsidRDefault="00AF0781">
      <w:r>
        <w:br w:type="page"/>
      </w:r>
    </w:p>
    <w:p w:rsidR="0001216B" w:rsidRDefault="00AF0781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01216B" w:rsidRDefault="0001216B"/>
    <w:p w:rsidR="00C42539" w:rsidRPr="00C42539" w:rsidRDefault="00AF0781" w:rsidP="00C42539">
      <w:pPr>
        <w:pStyle w:val="af2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C42539">
        <w:rPr>
          <w:rFonts w:ascii="Times New Roman" w:hAnsi="Times New Roman" w:cs="Times New Roman"/>
          <w:b/>
        </w:rPr>
        <w:t>Цели и задачи учебных занятий</w:t>
      </w:r>
    </w:p>
    <w:p w:rsidR="0015361E" w:rsidRDefault="0015361E">
      <w:pPr>
        <w:rPr>
          <w:rFonts w:ascii="Times New Roman" w:hAnsi="Times New Roman" w:cs="Times New Roman"/>
          <w:b/>
        </w:rPr>
      </w:pPr>
    </w:p>
    <w:p w:rsidR="0001216B" w:rsidRPr="00C42539" w:rsidRDefault="00153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Сообщение сведений </w:t>
      </w:r>
      <w:r w:rsidR="00C42539">
        <w:rPr>
          <w:rFonts w:ascii="Times New Roman" w:hAnsi="Times New Roman" w:cs="Times New Roman"/>
        </w:rPr>
        <w:t xml:space="preserve">о гладких динамических системах </w:t>
      </w:r>
      <w:r>
        <w:rPr>
          <w:rFonts w:ascii="Times New Roman" w:hAnsi="Times New Roman" w:cs="Times New Roman"/>
        </w:rPr>
        <w:t>в объеме, необходимом для общего развития и изучения смежных дисциплин физико-математического цикла. Усвоение основных идей, понятий и факто</w:t>
      </w:r>
      <w:r w:rsidR="00C42539">
        <w:rPr>
          <w:rFonts w:ascii="Times New Roman" w:hAnsi="Times New Roman" w:cs="Times New Roman"/>
        </w:rPr>
        <w:t>в теории гладких динамических систем</w:t>
      </w:r>
      <w:r>
        <w:rPr>
          <w:rFonts w:ascii="Times New Roman" w:hAnsi="Times New Roman" w:cs="Times New Roman"/>
        </w:rPr>
        <w:t>.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A00CA" w:rsidRDefault="000A00CA">
      <w:pPr>
        <w:rPr>
          <w:rFonts w:ascii="Times New Roman" w:hAnsi="Times New Roman" w:cs="Times New Roman"/>
          <w:b/>
        </w:rPr>
      </w:pPr>
    </w:p>
    <w:p w:rsidR="0001216B" w:rsidRDefault="00C42539">
      <w:r>
        <w:rPr>
          <w:rFonts w:ascii="Times New Roman" w:hAnsi="Times New Roman" w:cs="Times New Roman"/>
        </w:rPr>
        <w:t>Владение курсами «Математический анализ»,</w:t>
      </w:r>
      <w:r w:rsidR="00F678CD">
        <w:rPr>
          <w:rFonts w:ascii="Times New Roman" w:hAnsi="Times New Roman" w:cs="Times New Roman"/>
        </w:rPr>
        <w:t xml:space="preserve"> «Высшая алгебра»</w:t>
      </w:r>
      <w:r>
        <w:rPr>
          <w:rFonts w:ascii="Times New Roman" w:hAnsi="Times New Roman" w:cs="Times New Roman"/>
        </w:rPr>
        <w:t xml:space="preserve"> и «Динамические системы»</w:t>
      </w:r>
      <w:r w:rsidR="000A00CA">
        <w:rPr>
          <w:rFonts w:ascii="Times New Roman" w:hAnsi="Times New Roman" w:cs="Times New Roman"/>
        </w:rPr>
        <w:t>.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1216B" w:rsidRDefault="0001216B"/>
    <w:p w:rsidR="00C42539" w:rsidRDefault="000A0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должен овладеть теоретическим материалом в объеме, предусмотренном программой, уметь применять полученные знания при решении теоретических и прикладных задач, на основе анализа освоенных разделов:</w:t>
      </w:r>
      <w:r w:rsidR="00EE3B3C">
        <w:rPr>
          <w:rFonts w:ascii="Times New Roman" w:hAnsi="Times New Roman" w:cs="Times New Roman"/>
        </w:rPr>
        <w:t xml:space="preserve"> </w:t>
      </w:r>
      <w:r w:rsidR="00C42539">
        <w:rPr>
          <w:rFonts w:ascii="Times New Roman" w:hAnsi="Times New Roman" w:cs="Times New Roman"/>
        </w:rPr>
        <w:t>пространства гладких динамических систем, гиперболичность, Аксиома А и омега-устойчивость, структурная</w:t>
      </w:r>
    </w:p>
    <w:p w:rsidR="000A00CA" w:rsidRPr="00C42539" w:rsidRDefault="00C42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устойчивость</w:t>
      </w:r>
      <w:r w:rsidR="000A00CA" w:rsidRPr="002065DF">
        <w:rPr>
          <w:rFonts w:ascii="Times New Roman" w:hAnsi="Times New Roman" w:cs="Times New Roman"/>
        </w:rPr>
        <w:t>;</w:t>
      </w:r>
      <w:r w:rsidR="000A00CA">
        <w:rPr>
          <w:rFonts w:ascii="Times New Roman" w:hAnsi="Times New Roman" w:cs="Times New Roman"/>
        </w:rPr>
        <w:t xml:space="preserve"> уяснить логику и технику построения математической теории как фундамента самостоятельных научных исследований</w:t>
      </w:r>
    </w:p>
    <w:p w:rsidR="0001216B" w:rsidRDefault="0001216B"/>
    <w:p w:rsidR="0001216B" w:rsidRPr="0015361E" w:rsidRDefault="00AF0781">
      <w:pPr>
        <w:rPr>
          <w:rFonts w:ascii="Times New Roman" w:hAnsi="Times New Roman" w:cs="Times New Roman"/>
        </w:rPr>
      </w:pPr>
      <w:r w:rsidRPr="0015361E">
        <w:rPr>
          <w:rFonts w:ascii="Times New Roman" w:hAnsi="Times New Roman" w:cs="Times New Roman"/>
          <w:b/>
        </w:rPr>
        <w:t>1.4.</w:t>
      </w:r>
      <w:r w:rsidRPr="0015361E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01216B" w:rsidRDefault="0001216B"/>
    <w:p w:rsidR="0043550B" w:rsidRPr="0043550B" w:rsidRDefault="0043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</w:t>
      </w:r>
      <w:r w:rsidR="00A730F9">
        <w:rPr>
          <w:rFonts w:ascii="Times New Roman" w:hAnsi="Times New Roman" w:cs="Times New Roman"/>
        </w:rPr>
        <w:t>межуточная аттестация (экзамен</w:t>
      </w:r>
      <w:r>
        <w:rPr>
          <w:rFonts w:ascii="Times New Roman" w:hAnsi="Times New Roman" w:cs="Times New Roman"/>
        </w:rPr>
        <w:t>) 4 часа.</w:t>
      </w:r>
    </w:p>
    <w:p w:rsidR="0001216B" w:rsidRDefault="00AF0781">
      <w:r>
        <w:br w:type="page"/>
      </w:r>
    </w:p>
    <w:p w:rsidR="0001216B" w:rsidRDefault="00AF0781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01216B" w:rsidRDefault="00AF0781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01216B" w:rsidRDefault="0001216B"/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AF0781">
            <w:pPr>
              <w:jc w:val="center"/>
            </w:pPr>
            <w:r w:rsidRPr="005E1F77">
              <w:t xml:space="preserve">Трудоёмкость, объёмы учебной работы и наполняемость групп обучающихся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AF0781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 раб.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AF0781" w:rsidP="00C34FCC">
            <w:pPr>
              <w:jc w:val="center"/>
              <w:rPr>
                <w:sz w:val="16"/>
                <w:szCs w:val="16"/>
              </w:rPr>
            </w:pPr>
            <w:proofErr w:type="gramStart"/>
            <w:r w:rsidRPr="001D24DE">
              <w:rPr>
                <w:sz w:val="16"/>
                <w:szCs w:val="16"/>
              </w:rPr>
              <w:t>итоговая  аттестация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B7191" w:rsidRPr="00552C40" w:rsidRDefault="00AF0781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rPr>
                <w:sz w:val="16"/>
                <w:szCs w:val="16"/>
              </w:rPr>
            </w:pPr>
          </w:p>
        </w:tc>
      </w:tr>
      <w:tr w:rsidR="0001216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01216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0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2E" w:rsidRDefault="004A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Семестр </w:t>
            </w:r>
          </w:p>
          <w:p w:rsidR="002B7191" w:rsidRPr="00552C40" w:rsidRDefault="004A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052E">
              <w:rPr>
                <w:sz w:val="16"/>
                <w:szCs w:val="16"/>
              </w:rPr>
              <w:t>-8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30DFD" w:rsidP="0083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60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</w:tr>
      <w:tr w:rsidR="000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10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83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60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22C8E" w:rsidRPr="00B21255" w:rsidRDefault="00810549">
      <w:pPr>
        <w:rPr>
          <w:lang w:val="en-US"/>
        </w:rPr>
      </w:pPr>
    </w:p>
    <w:p w:rsidR="0001216B" w:rsidRDefault="0001216B"/>
    <w:p w:rsidR="0001216B" w:rsidRDefault="0001216B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AF0781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F3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</w:t>
            </w:r>
            <w:r w:rsidR="00AF0781" w:rsidRPr="00474C4B">
              <w:rPr>
                <w:sz w:val="20"/>
                <w:szCs w:val="20"/>
              </w:rPr>
              <w:t xml:space="preserve">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AF0781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AF0781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AF0781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853E25" w:rsidRPr="00474C4B" w:rsidRDefault="00AF0781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81054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AF0781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AF0781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01216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01216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01216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474C4B" w:rsidRDefault="00F66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5</w:t>
            </w:r>
            <w:r w:rsidR="00F3052E">
              <w:rPr>
                <w:sz w:val="20"/>
                <w:szCs w:val="20"/>
              </w:rPr>
              <w:t>-8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81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81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аттестации, 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81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8105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225" w:rsidRPr="0015361E" w:rsidRDefault="00810549"/>
    <w:p w:rsidR="0001216B" w:rsidRDefault="0001216B"/>
    <w:p w:rsidR="0001216B" w:rsidRDefault="00AF0781">
      <w:r>
        <w:br w:type="page"/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0A5D08" w:rsidRDefault="000A5D08">
      <w:pPr>
        <w:rPr>
          <w:rFonts w:ascii="Times New Roman" w:hAnsi="Times New Roman" w:cs="Times New Roman"/>
          <w:b/>
        </w:rPr>
      </w:pPr>
    </w:p>
    <w:p w:rsidR="000A5D08" w:rsidRDefault="000A5D08" w:rsidP="000A5D08">
      <w:pPr>
        <w:rPr>
          <w:rFonts w:ascii="Times New Roman" w:hAnsi="Times New Roman" w:cs="Times New Roman"/>
          <w:b/>
        </w:rPr>
      </w:pPr>
      <w:r w:rsidRPr="0027369A">
        <w:rPr>
          <w:rFonts w:ascii="Times New Roman" w:hAnsi="Times New Roman" w:cs="Times New Roman"/>
        </w:rPr>
        <w:t xml:space="preserve">Период обучения (модуль): </w:t>
      </w:r>
      <w:r w:rsidR="00FD4521">
        <w:rPr>
          <w:rFonts w:ascii="Times New Roman" w:hAnsi="Times New Roman" w:cs="Times New Roman"/>
          <w:b/>
        </w:rPr>
        <w:t>Семестр 5</w:t>
      </w:r>
      <w:r w:rsidR="00F3052E">
        <w:rPr>
          <w:rFonts w:ascii="Times New Roman" w:hAnsi="Times New Roman" w:cs="Times New Roman"/>
          <w:b/>
        </w:rPr>
        <w:t>-8</w:t>
      </w:r>
    </w:p>
    <w:p w:rsidR="000A5D08" w:rsidRPr="0027369A" w:rsidRDefault="000A5D08" w:rsidP="000A5D08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4245"/>
        <w:gridCol w:w="3368"/>
        <w:gridCol w:w="1427"/>
      </w:tblGrid>
      <w:tr w:rsidR="000A5D08" w:rsidRPr="0027369A" w:rsidTr="00275BC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Вид учебных занятий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A5D08" w:rsidRPr="0027369A" w:rsidTr="00275BC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CE3AD2" w:rsidRDefault="00C42539" w:rsidP="00275BC4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Пространства гладких динамических систем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3C65FB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 w:rsidRPr="002736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27369A"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3C65FB" w:rsidRDefault="003C65FB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5D08" w:rsidRPr="0027369A" w:rsidTr="00275BC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C42539" w:rsidP="00C4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Гиперболичность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CE3AD2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 w:rsidRPr="002736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27369A"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3C65FB" w:rsidRDefault="003C65FB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C42539" w:rsidP="00C42539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Аксиома А и омега-устойчивость</w:t>
            </w:r>
            <w:r w:rsidR="0098509A">
              <w:rPr>
                <w:rFonts w:ascii="Times New Roman" w:hAnsi="Times New Roman" w:cs="Times New Roman"/>
              </w:rPr>
              <w:t>; структурная устойчивость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E642C5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 w:rsidRPr="002736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27369A"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F3052E">
        <w:trPr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3C65FB" w:rsidRDefault="003C65FB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5D08" w:rsidRPr="0027369A" w:rsidTr="00F3052E">
        <w:trPr>
          <w:trHeight w:val="269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3C65FB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 w:rsidRPr="0027369A">
              <w:rPr>
                <w:rFonts w:ascii="Times New Roman" w:hAnsi="Times New Roman" w:cs="Times New Roman"/>
              </w:rPr>
              <w:t>ауд</w:t>
            </w:r>
            <w:proofErr w:type="spellEnd"/>
            <w:r w:rsidRPr="002736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D08" w:rsidRPr="0027369A" w:rsidTr="00F3052E">
        <w:trPr>
          <w:trHeight w:val="173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 w:rsidRPr="0027369A">
              <w:rPr>
                <w:rFonts w:ascii="Times New Roman" w:hAnsi="Times New Roman" w:cs="Times New Roman"/>
              </w:rPr>
              <w:t>с.р</w:t>
            </w:r>
            <w:proofErr w:type="spellEnd"/>
            <w:r w:rsidRPr="002736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3C65FB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DF64BC" w:rsidRDefault="00DF64BC" w:rsidP="00DF64BC">
      <w:pPr>
        <w:pStyle w:val="af2"/>
        <w:spacing w:after="0"/>
        <w:ind w:left="0"/>
        <w:rPr>
          <w:rFonts w:eastAsiaTheme="minorHAnsi"/>
          <w:szCs w:val="24"/>
          <w:lang w:eastAsia="en-US"/>
        </w:rPr>
      </w:pPr>
    </w:p>
    <w:p w:rsidR="0098509A" w:rsidRDefault="00DF64BC" w:rsidP="0098509A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 w:rsidRPr="0027369A">
        <w:rPr>
          <w:rFonts w:ascii="Times New Roman" w:hAnsi="Times New Roman" w:cs="Times New Roman"/>
          <w:b/>
          <w:szCs w:val="24"/>
        </w:rPr>
        <w:t xml:space="preserve">Раздел 1: </w:t>
      </w:r>
      <w:r w:rsidR="0098509A">
        <w:rPr>
          <w:rFonts w:ascii="Times New Roman" w:hAnsi="Times New Roman" w:cs="Times New Roman"/>
        </w:rPr>
        <w:t>Пространства гладких динамических систем</w:t>
      </w:r>
      <w:r w:rsidR="0098509A">
        <w:rPr>
          <w:rFonts w:ascii="Times New Roman" w:hAnsi="Times New Roman" w:cs="Times New Roman"/>
          <w:szCs w:val="24"/>
        </w:rPr>
        <w:t xml:space="preserve"> </w:t>
      </w:r>
    </w:p>
    <w:p w:rsidR="00532500" w:rsidRPr="00532500" w:rsidRDefault="00532500" w:rsidP="0098509A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</w:rPr>
      </w:pPr>
      <w:r w:rsidRPr="00532500">
        <w:rPr>
          <w:rFonts w:ascii="Times New Roman" w:hAnsi="Times New Roman" w:cs="Times New Roman"/>
        </w:rPr>
        <w:t xml:space="preserve">1. </w:t>
      </w:r>
      <w:r w:rsidR="0098509A">
        <w:rPr>
          <w:rFonts w:ascii="Times New Roman" w:hAnsi="Times New Roman" w:cs="Times New Roman"/>
        </w:rPr>
        <w:t>Топологии на пространстве гомеоморфизмов метрических пространств и на пространстве диффеоморфизмов гладких многообразий</w:t>
      </w:r>
      <w:r w:rsidRPr="00532500">
        <w:rPr>
          <w:rFonts w:ascii="Times New Roman" w:hAnsi="Times New Roman" w:cs="Times New Roman"/>
        </w:rPr>
        <w:t>.</w:t>
      </w:r>
    </w:p>
    <w:p w:rsidR="0098509A" w:rsidRDefault="00532500" w:rsidP="003F0FE7">
      <w:pPr>
        <w:spacing w:line="360" w:lineRule="auto"/>
        <w:rPr>
          <w:rFonts w:ascii="Times New Roman" w:hAnsi="Times New Roman" w:cs="Times New Roman"/>
        </w:rPr>
      </w:pPr>
      <w:r w:rsidRPr="00532500">
        <w:rPr>
          <w:rFonts w:ascii="Times New Roman" w:hAnsi="Times New Roman" w:cs="Times New Roman"/>
        </w:rPr>
        <w:t xml:space="preserve">2. </w:t>
      </w:r>
      <w:r w:rsidR="0098509A">
        <w:rPr>
          <w:rFonts w:ascii="Times New Roman" w:hAnsi="Times New Roman" w:cs="Times New Roman"/>
        </w:rPr>
        <w:t>Пространства гладких векторных полей. Метрики и топологии на нем.</w:t>
      </w:r>
      <w:r w:rsidR="0098509A" w:rsidRPr="00532500">
        <w:rPr>
          <w:rFonts w:ascii="Times New Roman" w:hAnsi="Times New Roman" w:cs="Times New Roman"/>
        </w:rPr>
        <w:t xml:space="preserve"> </w:t>
      </w:r>
    </w:p>
    <w:p w:rsidR="00532500" w:rsidRPr="00532500" w:rsidRDefault="00532500" w:rsidP="003F0FE7">
      <w:pPr>
        <w:spacing w:line="360" w:lineRule="auto"/>
        <w:rPr>
          <w:rFonts w:ascii="Times New Roman" w:hAnsi="Times New Roman" w:cs="Times New Roman"/>
        </w:rPr>
      </w:pPr>
      <w:r w:rsidRPr="00532500">
        <w:rPr>
          <w:rFonts w:ascii="Times New Roman" w:hAnsi="Times New Roman" w:cs="Times New Roman"/>
        </w:rPr>
        <w:t xml:space="preserve">3. </w:t>
      </w:r>
      <w:r w:rsidR="0098509A">
        <w:rPr>
          <w:rFonts w:ascii="Times New Roman" w:hAnsi="Times New Roman" w:cs="Times New Roman"/>
        </w:rPr>
        <w:t>Отношения эквивалентности. Омега-устойчивость и структурная устойчивость.</w:t>
      </w:r>
    </w:p>
    <w:p w:rsidR="00532500" w:rsidRDefault="00B84A93" w:rsidP="009405A7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2</w:t>
      </w:r>
      <w:r w:rsidRPr="0027369A">
        <w:rPr>
          <w:rFonts w:ascii="Times New Roman" w:hAnsi="Times New Roman" w:cs="Times New Roman"/>
          <w:b/>
          <w:szCs w:val="24"/>
        </w:rPr>
        <w:t xml:space="preserve">: </w:t>
      </w:r>
      <w:r w:rsidR="0098509A">
        <w:rPr>
          <w:rFonts w:ascii="Times New Roman" w:hAnsi="Times New Roman" w:cs="Times New Roman"/>
          <w:b/>
          <w:szCs w:val="24"/>
        </w:rPr>
        <w:t xml:space="preserve">Гиперболичность </w:t>
      </w:r>
    </w:p>
    <w:p w:rsidR="0098509A" w:rsidRDefault="00532500" w:rsidP="00940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32500">
        <w:rPr>
          <w:rFonts w:ascii="Times New Roman" w:hAnsi="Times New Roman" w:cs="Times New Roman"/>
        </w:rPr>
        <w:t xml:space="preserve">. </w:t>
      </w:r>
      <w:r w:rsidR="0098509A">
        <w:rPr>
          <w:rFonts w:ascii="Times New Roman" w:hAnsi="Times New Roman" w:cs="Times New Roman"/>
        </w:rPr>
        <w:t xml:space="preserve">Определение гиперболической структуры. </w:t>
      </w:r>
    </w:p>
    <w:p w:rsidR="00532500" w:rsidRPr="00532500" w:rsidRDefault="00532500" w:rsidP="00940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32500">
        <w:rPr>
          <w:rFonts w:ascii="Times New Roman" w:hAnsi="Times New Roman" w:cs="Times New Roman"/>
        </w:rPr>
        <w:t xml:space="preserve">. </w:t>
      </w:r>
      <w:r w:rsidR="0098509A">
        <w:rPr>
          <w:rFonts w:ascii="Times New Roman" w:hAnsi="Times New Roman" w:cs="Times New Roman"/>
        </w:rPr>
        <w:t xml:space="preserve">Гиперболическая неподвижная точка. </w:t>
      </w:r>
    </w:p>
    <w:p w:rsidR="0098509A" w:rsidRDefault="00532500" w:rsidP="00940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32500">
        <w:rPr>
          <w:rFonts w:ascii="Times New Roman" w:hAnsi="Times New Roman" w:cs="Times New Roman"/>
        </w:rPr>
        <w:t xml:space="preserve">. </w:t>
      </w:r>
      <w:r w:rsidR="0098509A">
        <w:rPr>
          <w:rFonts w:ascii="Times New Roman" w:hAnsi="Times New Roman" w:cs="Times New Roman"/>
        </w:rPr>
        <w:t xml:space="preserve">Теорема </w:t>
      </w:r>
      <w:proofErr w:type="spellStart"/>
      <w:r w:rsidR="0098509A">
        <w:rPr>
          <w:rFonts w:ascii="Times New Roman" w:hAnsi="Times New Roman" w:cs="Times New Roman"/>
        </w:rPr>
        <w:t>Гробмана-Хартмана</w:t>
      </w:r>
      <w:proofErr w:type="spellEnd"/>
      <w:r w:rsidR="0098509A">
        <w:rPr>
          <w:rFonts w:ascii="Times New Roman" w:hAnsi="Times New Roman" w:cs="Times New Roman"/>
        </w:rPr>
        <w:t>.</w:t>
      </w:r>
    </w:p>
    <w:p w:rsidR="00532500" w:rsidRPr="00532500" w:rsidRDefault="00532500" w:rsidP="00940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32500">
        <w:rPr>
          <w:rFonts w:ascii="Times New Roman" w:hAnsi="Times New Roman" w:cs="Times New Roman"/>
        </w:rPr>
        <w:t xml:space="preserve">. </w:t>
      </w:r>
      <w:r w:rsidR="0098509A">
        <w:rPr>
          <w:rFonts w:ascii="Times New Roman" w:hAnsi="Times New Roman" w:cs="Times New Roman"/>
        </w:rPr>
        <w:t>Устойчивые и неустойчивые многообразия гиперболических множеств</w:t>
      </w:r>
      <w:r w:rsidRPr="00532500">
        <w:rPr>
          <w:rFonts w:ascii="Times New Roman" w:hAnsi="Times New Roman" w:cs="Times New Roman"/>
        </w:rPr>
        <w:t>.</w:t>
      </w:r>
    </w:p>
    <w:p w:rsidR="00532500" w:rsidRPr="00532500" w:rsidRDefault="0017103E" w:rsidP="00532500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3</w:t>
      </w:r>
      <w:r w:rsidRPr="0027369A">
        <w:rPr>
          <w:rFonts w:ascii="Times New Roman" w:hAnsi="Times New Roman" w:cs="Times New Roman"/>
          <w:b/>
          <w:szCs w:val="24"/>
        </w:rPr>
        <w:t xml:space="preserve">: </w:t>
      </w:r>
      <w:r w:rsidR="0098509A">
        <w:rPr>
          <w:rFonts w:ascii="Times New Roman" w:hAnsi="Times New Roman" w:cs="Times New Roman"/>
        </w:rPr>
        <w:t>Аксиома А и омега-устойчивость; структурная устойчивость</w:t>
      </w:r>
      <w:r w:rsidR="0098509A">
        <w:rPr>
          <w:rFonts w:ascii="Times New Roman" w:hAnsi="Times New Roman" w:cs="Times New Roman"/>
          <w:szCs w:val="24"/>
        </w:rPr>
        <w:t xml:space="preserve"> </w:t>
      </w:r>
    </w:p>
    <w:p w:rsidR="00532500" w:rsidRPr="00532500" w:rsidRDefault="00532500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32500">
        <w:rPr>
          <w:rFonts w:ascii="Times New Roman" w:hAnsi="Times New Roman" w:cs="Times New Roman"/>
        </w:rPr>
        <w:t xml:space="preserve">. </w:t>
      </w:r>
      <w:r w:rsidR="0098509A">
        <w:rPr>
          <w:rFonts w:ascii="Times New Roman" w:hAnsi="Times New Roman" w:cs="Times New Roman"/>
        </w:rPr>
        <w:t>Аксиома А и спектральное разложение.</w:t>
      </w:r>
    </w:p>
    <w:p w:rsidR="00532500" w:rsidRDefault="00532500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32500">
        <w:rPr>
          <w:rFonts w:ascii="Times New Roman" w:hAnsi="Times New Roman" w:cs="Times New Roman"/>
        </w:rPr>
        <w:t xml:space="preserve">. </w:t>
      </w:r>
      <w:r w:rsidR="0098509A">
        <w:rPr>
          <w:rFonts w:ascii="Times New Roman" w:hAnsi="Times New Roman" w:cs="Times New Roman"/>
        </w:rPr>
        <w:t>Циклы и омега-взрывы.</w:t>
      </w:r>
    </w:p>
    <w:p w:rsidR="00532500" w:rsidRDefault="00532500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32500">
        <w:rPr>
          <w:rFonts w:ascii="Times New Roman" w:hAnsi="Times New Roman" w:cs="Times New Roman"/>
        </w:rPr>
        <w:t xml:space="preserve">. </w:t>
      </w:r>
      <w:r w:rsidR="00BD2DFB">
        <w:rPr>
          <w:rFonts w:ascii="Times New Roman" w:hAnsi="Times New Roman" w:cs="Times New Roman"/>
        </w:rPr>
        <w:t>Условие отсутствия циклов и омега-устойчивость.</w:t>
      </w:r>
    </w:p>
    <w:p w:rsidR="00BD2DFB" w:rsidRDefault="00BD2DFB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Структурная устойчивость гиперболических множеств.</w:t>
      </w:r>
    </w:p>
    <w:p w:rsidR="00BD2DFB" w:rsidRDefault="00BD2DFB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Диффеоморфизмы Аносова.</w:t>
      </w:r>
    </w:p>
    <w:p w:rsidR="00192EF8" w:rsidRDefault="00192EF8" w:rsidP="00017E91">
      <w:pPr>
        <w:spacing w:line="360" w:lineRule="auto"/>
        <w:rPr>
          <w:rFonts w:ascii="Times New Roman" w:hAnsi="Times New Roman" w:cs="Times New Roman"/>
        </w:rPr>
      </w:pP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01216B" w:rsidRDefault="00AF0781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01216B" w:rsidRDefault="00AF0781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01216B" w:rsidRDefault="0001216B"/>
    <w:p w:rsidR="00C84DDE" w:rsidRDefault="00C84DDE">
      <w:r w:rsidRPr="0027369A">
        <w:rPr>
          <w:rFonts w:ascii="Times New Roman" w:hAnsi="Times New Roman" w:cs="Times New Roman"/>
        </w:rPr>
        <w:t>Посещен</w:t>
      </w:r>
      <w:r w:rsidR="00D30F3F">
        <w:rPr>
          <w:rFonts w:ascii="Times New Roman" w:hAnsi="Times New Roman" w:cs="Times New Roman"/>
        </w:rPr>
        <w:t>ие лекций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01216B" w:rsidRDefault="0001216B"/>
    <w:p w:rsidR="00C84DDE" w:rsidRDefault="00C84DDE">
      <w:r w:rsidRPr="0027369A">
        <w:rPr>
          <w:rFonts w:ascii="Times New Roman" w:hAnsi="Times New Roman" w:cs="Times New Roman"/>
        </w:rPr>
        <w:t>Основная и дополнительная литература</w:t>
      </w:r>
    </w:p>
    <w:p w:rsidR="0001216B" w:rsidRDefault="0001216B"/>
    <w:p w:rsidR="00FB134C" w:rsidRPr="00192EF8" w:rsidRDefault="00AF0781" w:rsidP="00C84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FB134C" w:rsidRDefault="00FB134C" w:rsidP="00C84DDE">
      <w:pPr>
        <w:rPr>
          <w:rFonts w:ascii="Times New Roman" w:hAnsi="Times New Roman" w:cs="Times New Roman"/>
          <w:bCs/>
        </w:rPr>
      </w:pPr>
    </w:p>
    <w:p w:rsidR="00C84DDE" w:rsidRPr="00FB134C" w:rsidRDefault="00C84DDE" w:rsidP="00C84DDE">
      <w:pPr>
        <w:rPr>
          <w:rFonts w:ascii="Times New Roman" w:hAnsi="Times New Roman" w:cs="Times New Roman"/>
          <w:b/>
          <w:bCs/>
        </w:rPr>
      </w:pPr>
      <w:r w:rsidRPr="00FB134C">
        <w:rPr>
          <w:rFonts w:ascii="Times New Roman" w:hAnsi="Times New Roman" w:cs="Times New Roman"/>
          <w:b/>
          <w:bCs/>
        </w:rPr>
        <w:t>Методика проведения экзамена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Экзамен проводи</w:t>
      </w:r>
      <w:r w:rsidRPr="0027369A">
        <w:rPr>
          <w:rFonts w:ascii="Times New Roman" w:hAnsi="Times New Roman" w:cs="Times New Roman"/>
          <w:bCs/>
        </w:rPr>
        <w:t>тся в устной форме. Билет состоит из двух вопросов. Время подготовки ответа на вопросы билета составляет 60 минут.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 xml:space="preserve">Использование конспектов и учебников, а также электронных устройств хранения, обработки или передачи информации при подготовке и ответе на вопросы экзамена категорически запрещено. В случае обнаружения факта использования недозволенных материалов (устройств) составляется </w:t>
      </w:r>
      <w:proofErr w:type="gramStart"/>
      <w:r w:rsidRPr="0027369A">
        <w:rPr>
          <w:rFonts w:ascii="Times New Roman" w:hAnsi="Times New Roman" w:cs="Times New Roman"/>
        </w:rPr>
        <w:t>акт</w:t>
      </w:r>
      <w:proofErr w:type="gramEnd"/>
      <w:r w:rsidRPr="0027369A">
        <w:rPr>
          <w:rFonts w:ascii="Times New Roman" w:hAnsi="Times New Roman" w:cs="Times New Roman"/>
        </w:rPr>
        <w:t xml:space="preserve"> и студент удаляется с экзамена. 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Критерии выставления оценок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«отлично» ставится за полностью раскрытый теоретический материал и правильные ответы на дополнительные вопросы преподавателя. В болонской шкале оценка может быть скорректирована в ту или иную сторону с учетом малозначительных погрешностей изложения или, напротив, углубленного изложения материала.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«удовлетворительно» ставится за знание основных вопросов по каждой теме.</w:t>
      </w:r>
    </w:p>
    <w:p w:rsidR="00C84DDE" w:rsidRDefault="00C84DDE" w:rsidP="00C84DDE">
      <w:r w:rsidRPr="0027369A">
        <w:rPr>
          <w:rFonts w:ascii="Times New Roman" w:hAnsi="Times New Roman" w:cs="Times New Roman"/>
        </w:rPr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01216B" w:rsidRDefault="0001216B"/>
    <w:p w:rsidR="00FB134C" w:rsidRDefault="00FB134C" w:rsidP="00FB134C">
      <w:pPr>
        <w:rPr>
          <w:rFonts w:ascii="Times New Roman" w:hAnsi="Times New Roman" w:cs="Times New Roman"/>
          <w:b/>
        </w:rPr>
      </w:pPr>
      <w:r w:rsidRPr="0027369A">
        <w:rPr>
          <w:rFonts w:ascii="Times New Roman" w:hAnsi="Times New Roman" w:cs="Times New Roman"/>
        </w:rPr>
        <w:t xml:space="preserve">Период обучения (модуль): </w:t>
      </w:r>
      <w:r w:rsidR="003C65FB">
        <w:rPr>
          <w:rFonts w:ascii="Times New Roman" w:hAnsi="Times New Roman" w:cs="Times New Roman"/>
          <w:b/>
        </w:rPr>
        <w:t>Семестр 5</w:t>
      </w:r>
      <w:r w:rsidR="00F3052E">
        <w:rPr>
          <w:rFonts w:ascii="Times New Roman" w:hAnsi="Times New Roman" w:cs="Times New Roman"/>
          <w:b/>
        </w:rPr>
        <w:t>-8</w:t>
      </w:r>
      <w:bookmarkStart w:id="0" w:name="_GoBack"/>
      <w:bookmarkEnd w:id="0"/>
    </w:p>
    <w:p w:rsidR="00FB134C" w:rsidRDefault="00FB134C" w:rsidP="00FB134C">
      <w:pPr>
        <w:rPr>
          <w:rFonts w:ascii="Times New Roman" w:hAnsi="Times New Roman" w:cs="Times New Roman"/>
          <w:b/>
        </w:rPr>
      </w:pPr>
    </w:p>
    <w:p w:rsidR="00FB134C" w:rsidRDefault="00192EF8" w:rsidP="00923938">
      <w:pPr>
        <w:rPr>
          <w:rFonts w:ascii="Times New Roman" w:hAnsi="Times New Roman" w:cs="Times New Roman"/>
        </w:rPr>
      </w:pPr>
      <w:r w:rsidRPr="00192EF8">
        <w:rPr>
          <w:rFonts w:ascii="Times New Roman" w:hAnsi="Times New Roman" w:cs="Times New Roman"/>
          <w:b/>
        </w:rPr>
        <w:t>Список</w:t>
      </w:r>
      <w:r w:rsidR="00FB134C" w:rsidRPr="00192E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вопросов к экзамену</w:t>
      </w:r>
      <w:r w:rsidR="00FB134C" w:rsidRPr="00206996">
        <w:rPr>
          <w:rFonts w:ascii="Times New Roman" w:hAnsi="Times New Roman" w:cs="Times New Roman"/>
        </w:rPr>
        <w:t>:</w:t>
      </w:r>
    </w:p>
    <w:p w:rsidR="00BD2DFB" w:rsidRDefault="00BD2DFB" w:rsidP="00923938">
      <w:pPr>
        <w:rPr>
          <w:rFonts w:ascii="Times New Roman" w:hAnsi="Times New Roman" w:cs="Times New Roman"/>
        </w:rPr>
      </w:pPr>
    </w:p>
    <w:p w:rsidR="00BD2DFB" w:rsidRPr="00722B23" w:rsidRDefault="00722B23" w:rsidP="00722B23">
      <w:pPr>
        <w:spacing w:line="360" w:lineRule="auto"/>
        <w:rPr>
          <w:rFonts w:ascii="Times New Roman" w:hAnsi="Times New Roman" w:cs="Times New Roman"/>
        </w:rPr>
      </w:pPr>
      <w:r w:rsidRPr="00722B23">
        <w:rPr>
          <w:rFonts w:ascii="Times New Roman" w:hAnsi="Times New Roman" w:cs="Times New Roman"/>
        </w:rPr>
        <w:t>1.</w:t>
      </w:r>
      <w:r w:rsidR="00BD2DFB" w:rsidRPr="00722B23">
        <w:rPr>
          <w:rFonts w:ascii="Times New Roman" w:hAnsi="Times New Roman" w:cs="Times New Roman"/>
        </w:rPr>
        <w:t>Топологии на пространстве гомеоморфизмов метрических пространств.</w:t>
      </w:r>
    </w:p>
    <w:p w:rsidR="00BD2DFB" w:rsidRPr="00722B23" w:rsidRDefault="00722B23" w:rsidP="00722B23">
      <w:pPr>
        <w:spacing w:line="360" w:lineRule="auto"/>
        <w:rPr>
          <w:rFonts w:ascii="Times New Roman" w:hAnsi="Times New Roman" w:cs="Times New Roman"/>
        </w:rPr>
      </w:pPr>
      <w:r w:rsidRPr="00722B23">
        <w:rPr>
          <w:rFonts w:ascii="Times New Roman" w:hAnsi="Times New Roman" w:cs="Times New Roman"/>
        </w:rPr>
        <w:t>2.</w:t>
      </w:r>
      <w:r w:rsidR="00BD2DFB" w:rsidRPr="00722B23">
        <w:rPr>
          <w:rFonts w:ascii="Times New Roman" w:hAnsi="Times New Roman" w:cs="Times New Roman"/>
        </w:rPr>
        <w:t>Топологии на пространстве диффеоморфизмов гладких многообразий.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Пространства гладких векторных полей. Метрики и топологии на нем.</w:t>
      </w:r>
      <w:r w:rsidRPr="00532500">
        <w:rPr>
          <w:rFonts w:ascii="Times New Roman" w:hAnsi="Times New Roman" w:cs="Times New Roman"/>
        </w:rPr>
        <w:t xml:space="preserve"> 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Отношения эквивалентности. </w:t>
      </w:r>
    </w:p>
    <w:p w:rsidR="00BD2DFB" w:rsidRPr="00532500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Омега-устойчивость и структурная устойчивость.</w:t>
      </w:r>
    </w:p>
    <w:p w:rsidR="00BD2DFB" w:rsidRDefault="00722B23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2DFB">
        <w:rPr>
          <w:rFonts w:ascii="Times New Roman" w:hAnsi="Times New Roman" w:cs="Times New Roman"/>
        </w:rPr>
        <w:t>6</w:t>
      </w:r>
      <w:r w:rsidR="00BD2DFB" w:rsidRPr="00532500">
        <w:rPr>
          <w:rFonts w:ascii="Times New Roman" w:hAnsi="Times New Roman" w:cs="Times New Roman"/>
        </w:rPr>
        <w:t xml:space="preserve">. </w:t>
      </w:r>
      <w:r w:rsidR="00BD2DFB">
        <w:rPr>
          <w:rFonts w:ascii="Times New Roman" w:hAnsi="Times New Roman" w:cs="Times New Roman"/>
        </w:rPr>
        <w:t xml:space="preserve">Определение гиперболической структуры. </w:t>
      </w:r>
    </w:p>
    <w:p w:rsidR="00BD2DFB" w:rsidRPr="00532500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Гиперболическая неподвижная точка. 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Теорема </w:t>
      </w:r>
      <w:proofErr w:type="spellStart"/>
      <w:r>
        <w:rPr>
          <w:rFonts w:ascii="Times New Roman" w:hAnsi="Times New Roman" w:cs="Times New Roman"/>
        </w:rPr>
        <w:t>Гробмана-Хартмана</w:t>
      </w:r>
      <w:proofErr w:type="spellEnd"/>
      <w:r>
        <w:rPr>
          <w:rFonts w:ascii="Times New Roman" w:hAnsi="Times New Roman" w:cs="Times New Roman"/>
        </w:rPr>
        <w:t>.</w:t>
      </w:r>
    </w:p>
    <w:p w:rsidR="00BD2DFB" w:rsidRPr="00532500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Устойчивые и неустойчивые многообразия гиперболических множеств</w:t>
      </w:r>
      <w:r w:rsidRPr="00532500">
        <w:rPr>
          <w:rFonts w:ascii="Times New Roman" w:hAnsi="Times New Roman" w:cs="Times New Roman"/>
        </w:rPr>
        <w:t>.</w:t>
      </w:r>
    </w:p>
    <w:p w:rsidR="00BD2DFB" w:rsidRPr="00532500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Аксиома А и спектральное разложение.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Циклы и омега-взрывы.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32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Условие отсутствия циклов и омега-устойчивость.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Структурная устойчивость гиперболических множеств.</w:t>
      </w:r>
    </w:p>
    <w:p w:rsidR="00BD2DFB" w:rsidRDefault="00BD2DFB" w:rsidP="00BD2D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Диффеоморфизмы Аносова.</w:t>
      </w:r>
    </w:p>
    <w:p w:rsidR="00FB134C" w:rsidRDefault="00FB134C"/>
    <w:p w:rsidR="0001216B" w:rsidRDefault="00AF0781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01216B" w:rsidRDefault="00AF0781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 xml:space="preserve">К чтению лекций должны привлекаться преподаватели, имеющие ученую степень доктора или кандидата наук (в том числе степень </w:t>
      </w:r>
      <w:proofErr w:type="spellStart"/>
      <w:r w:rsidRPr="0027369A">
        <w:rPr>
          <w:rFonts w:ascii="Times New Roman" w:hAnsi="Times New Roman" w:cs="Times New Roman"/>
        </w:rPr>
        <w:t>PhD</w:t>
      </w:r>
      <w:proofErr w:type="spellEnd"/>
      <w:r w:rsidRPr="0027369A">
        <w:rPr>
          <w:rFonts w:ascii="Times New Roman" w:hAnsi="Times New Roman" w:cs="Times New Roman"/>
        </w:rPr>
        <w:t>, прошедшую установленную процедуру признания и установления эквивалентности) и/или ученое звание профессора или доцента.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3.2.2  Обеспечение</w:t>
      </w:r>
      <w:proofErr w:type="gramEnd"/>
      <w:r>
        <w:rPr>
          <w:rFonts w:ascii="Times New Roman" w:hAnsi="Times New Roman" w:cs="Times New Roman"/>
          <w:b/>
        </w:rPr>
        <w:t xml:space="preserve"> учебно-вспомогательным и (или) иным персоналом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не требуется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Стандартно оборудованные</w:t>
      </w:r>
      <w:r>
        <w:rPr>
          <w:rFonts w:ascii="Times New Roman" w:hAnsi="Times New Roman" w:cs="Times New Roman"/>
        </w:rPr>
        <w:t xml:space="preserve"> лекционные аудитории, должны</w:t>
      </w:r>
      <w:r w:rsidRPr="0027369A">
        <w:rPr>
          <w:rFonts w:ascii="Times New Roman" w:hAnsi="Times New Roman" w:cs="Times New Roman"/>
        </w:rPr>
        <w:t xml:space="preserve"> вмещать поток в соответствии со списком студентов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доска для письма мелом или фломастером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Pr="00C84DDE" w:rsidRDefault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не требуется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01216B" w:rsidRDefault="0001216B"/>
    <w:p w:rsidR="00C84DDE" w:rsidRPr="00C84DDE" w:rsidRDefault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не требуется</w:t>
      </w:r>
    </w:p>
    <w:p w:rsidR="00C84DDE" w:rsidRDefault="00C84DDE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Мел — не менее 1 куска на час лекционных занятий, фломастеры для доски, губка</w:t>
      </w:r>
    </w:p>
    <w:p w:rsidR="0001216B" w:rsidRDefault="0001216B"/>
    <w:p w:rsidR="00A07C69" w:rsidRPr="00A07C69" w:rsidRDefault="00AF0781" w:rsidP="00A0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  <w:r w:rsidR="00A07C69" w:rsidRPr="00A07C69">
        <w:rPr>
          <w:rFonts w:ascii="Times New Roman" w:hAnsi="Times New Roman" w:cs="Times New Roman"/>
          <w:b/>
        </w:rPr>
        <w:t xml:space="preserve"> </w:t>
      </w:r>
    </w:p>
    <w:p w:rsidR="00A07C69" w:rsidRDefault="00A07C69" w:rsidP="00A07C69">
      <w:pPr>
        <w:rPr>
          <w:rFonts w:ascii="Times New Roman" w:hAnsi="Times New Roman" w:cs="Times New Roman"/>
          <w:b/>
        </w:rPr>
      </w:pPr>
      <w:r w:rsidRPr="00A07C69">
        <w:rPr>
          <w:rFonts w:ascii="Times New Roman" w:hAnsi="Times New Roman" w:cs="Times New Roman"/>
          <w:b/>
        </w:rPr>
        <w:lastRenderedPageBreak/>
        <w:t xml:space="preserve">3.4.3 </w:t>
      </w:r>
      <w:r w:rsidR="00AF0781" w:rsidRPr="00A07C69">
        <w:rPr>
          <w:rFonts w:ascii="Times New Roman" w:hAnsi="Times New Roman" w:cs="Times New Roman"/>
          <w:b/>
        </w:rPr>
        <w:t>Список обязательной литературы</w:t>
      </w:r>
    </w:p>
    <w:p w:rsidR="00A07C69" w:rsidRDefault="00A07C69" w:rsidP="00A07C69">
      <w:pPr>
        <w:rPr>
          <w:rFonts w:ascii="Times New Roman" w:hAnsi="Times New Roman" w:cs="Times New Roman"/>
          <w:b/>
        </w:rPr>
      </w:pPr>
    </w:p>
    <w:p w:rsidR="00A07C69" w:rsidRDefault="00A07C69" w:rsidP="00A07C69">
      <w:r w:rsidRPr="00A07C69">
        <w:rPr>
          <w:rFonts w:ascii="Times New Roman" w:hAnsi="Times New Roman" w:cs="Times New Roman"/>
          <w:b/>
        </w:rPr>
        <w:t xml:space="preserve">1. </w:t>
      </w:r>
      <w:r w:rsidR="00BD2DFB">
        <w:t>Пилюгин С.Ю. Введение в грубые системы дифференциальных уравнений.</w:t>
      </w:r>
      <w:r w:rsidR="002F037F">
        <w:t xml:space="preserve"> </w:t>
      </w:r>
      <w:r w:rsidR="00BD2DFB">
        <w:t>- Изд-во ЛГУ, 1988.</w:t>
      </w:r>
    </w:p>
    <w:p w:rsidR="00A07C69" w:rsidRDefault="00A07C69" w:rsidP="00A07C69">
      <w:r w:rsidRPr="00A07C69">
        <w:t>2.</w:t>
      </w:r>
      <w:r w:rsidR="00BD2DFB">
        <w:t xml:space="preserve">Пилюгин С.Ю. Пространства динамических систем. </w:t>
      </w:r>
      <w:r w:rsidR="002F037F">
        <w:t>– Ижевск: Регулярная и хаотическая динамика, 2008.</w:t>
      </w:r>
    </w:p>
    <w:p w:rsidR="00A07C69" w:rsidRDefault="00A07C69" w:rsidP="00A07C69"/>
    <w:p w:rsidR="00A07C69" w:rsidRDefault="00AF0781" w:rsidP="00A07C69">
      <w:pPr>
        <w:rPr>
          <w:rFonts w:ascii="Times New Roman" w:hAnsi="Times New Roman" w:cs="Times New Roman"/>
          <w:b/>
        </w:rPr>
      </w:pPr>
      <w:r w:rsidRPr="00A07C69">
        <w:rPr>
          <w:rFonts w:ascii="Times New Roman" w:hAnsi="Times New Roman" w:cs="Times New Roman"/>
          <w:b/>
        </w:rPr>
        <w:t>Список дополнительной литературы</w:t>
      </w:r>
    </w:p>
    <w:p w:rsidR="00746FF0" w:rsidRPr="00A07C69" w:rsidRDefault="00A07C69" w:rsidP="00A07C69">
      <w:pPr>
        <w:rPr>
          <w:rFonts w:ascii="Times New Roman" w:hAnsi="Times New Roman" w:cs="Times New Roman"/>
        </w:rPr>
      </w:pPr>
      <w:r w:rsidRPr="00A07C6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F037F" w:rsidRPr="00A07C69">
        <w:rPr>
          <w:rFonts w:ascii="Times New Roman" w:hAnsi="Times New Roman" w:cs="Times New Roman"/>
        </w:rPr>
        <w:t xml:space="preserve">Каток А., </w:t>
      </w:r>
      <w:proofErr w:type="spellStart"/>
      <w:r w:rsidR="002F037F" w:rsidRPr="00A07C69">
        <w:rPr>
          <w:rFonts w:ascii="Times New Roman" w:hAnsi="Times New Roman" w:cs="Times New Roman"/>
        </w:rPr>
        <w:t>Хассельблат</w:t>
      </w:r>
      <w:proofErr w:type="spellEnd"/>
      <w:r w:rsidR="002F037F" w:rsidRPr="00A07C69">
        <w:rPr>
          <w:rFonts w:ascii="Times New Roman" w:hAnsi="Times New Roman" w:cs="Times New Roman"/>
        </w:rPr>
        <w:t xml:space="preserve"> Б. Введение в современную теорию динамических систем. М.: Факториал, 1999.</w:t>
      </w:r>
    </w:p>
    <w:p w:rsidR="00A07C69" w:rsidRDefault="00A07C69" w:rsidP="00A07C69">
      <w:pPr>
        <w:rPr>
          <w:rFonts w:ascii="Times New Roman" w:hAnsi="Times New Roman" w:cs="Times New Roman"/>
        </w:rPr>
      </w:pPr>
    </w:p>
    <w:p w:rsidR="002F037F" w:rsidRPr="00A07C69" w:rsidRDefault="00A07C69" w:rsidP="00A07C69">
      <w:pPr>
        <w:rPr>
          <w:rFonts w:ascii="Times New Roman" w:hAnsi="Times New Roman" w:cs="Times New Roman"/>
        </w:rPr>
      </w:pPr>
      <w:r w:rsidRPr="00A07C6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F037F" w:rsidRPr="00A07C69">
        <w:rPr>
          <w:rFonts w:ascii="Times New Roman" w:hAnsi="Times New Roman" w:cs="Times New Roman"/>
        </w:rPr>
        <w:t>Крыжевич</w:t>
      </w:r>
      <w:proofErr w:type="spellEnd"/>
      <w:r w:rsidR="002F037F" w:rsidRPr="00A07C69">
        <w:rPr>
          <w:rFonts w:ascii="Times New Roman" w:hAnsi="Times New Roman" w:cs="Times New Roman"/>
        </w:rPr>
        <w:t xml:space="preserve"> С.Г., Пилюгин С.Ю. Локальная структура траекторий автономных систем дифференциальных уравнений. Элементарные методы. Учебное </w:t>
      </w:r>
      <w:proofErr w:type="spellStart"/>
      <w:r w:rsidR="002F037F" w:rsidRPr="00A07C69">
        <w:rPr>
          <w:rFonts w:ascii="Times New Roman" w:hAnsi="Times New Roman" w:cs="Times New Roman"/>
        </w:rPr>
        <w:t>пособие.СПбГУ</w:t>
      </w:r>
      <w:proofErr w:type="spellEnd"/>
      <w:r w:rsidR="002F037F" w:rsidRPr="00A07C69">
        <w:rPr>
          <w:rFonts w:ascii="Times New Roman" w:hAnsi="Times New Roman" w:cs="Times New Roman"/>
        </w:rPr>
        <w:t>, 2004.</w:t>
      </w:r>
    </w:p>
    <w:p w:rsidR="002F037F" w:rsidRPr="002F037F" w:rsidRDefault="002F037F" w:rsidP="002F0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01216B" w:rsidRDefault="0001216B"/>
    <w:p w:rsidR="0001216B" w:rsidRPr="00FB134C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0952ED" w:rsidRPr="00FB134C" w:rsidRDefault="000952ED">
      <w:pPr>
        <w:rPr>
          <w:rFonts w:ascii="Times New Roman" w:hAnsi="Times New Roman" w:cs="Times New Roman"/>
          <w:b/>
        </w:rPr>
      </w:pPr>
    </w:p>
    <w:p w:rsidR="000952ED" w:rsidRPr="00E4409F" w:rsidRDefault="00BD2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Пилюгин Сергей Юрьевич, доктор </w:t>
      </w:r>
      <w:r w:rsidR="003001DD">
        <w:rPr>
          <w:rFonts w:ascii="Times New Roman" w:hAnsi="Times New Roman" w:cs="Times New Roman"/>
          <w:shd w:val="clear" w:color="auto" w:fill="FFFFFF"/>
        </w:rPr>
        <w:t>физ.-мат</w:t>
      </w:r>
      <w:r>
        <w:rPr>
          <w:rFonts w:ascii="Times New Roman" w:hAnsi="Times New Roman" w:cs="Times New Roman"/>
          <w:shd w:val="clear" w:color="auto" w:fill="FFFFFF"/>
        </w:rPr>
        <w:t>. наук, профессор СПбГУ по направлению «математика»</w:t>
      </w:r>
      <w:r w:rsidR="00124AF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en-US"/>
        </w:rPr>
        <w:t>sergeipil47</w:t>
      </w:r>
      <w:r w:rsidR="00124AFD">
        <w:rPr>
          <w:rFonts w:ascii="Times New Roman" w:hAnsi="Times New Roman" w:cs="Times New Roman"/>
          <w:shd w:val="clear" w:color="auto" w:fill="FFFFFF"/>
        </w:rPr>
        <w:t>@</w:t>
      </w:r>
      <w:r w:rsidR="00124AFD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="00124AFD" w:rsidRPr="00E4409F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01216B" w:rsidRDefault="0001216B"/>
    <w:sectPr w:rsidR="0001216B" w:rsidSect="00FA521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49" w:rsidRDefault="00810549">
      <w:r>
        <w:separator/>
      </w:r>
    </w:p>
  </w:endnote>
  <w:endnote w:type="continuationSeparator" w:id="0">
    <w:p w:rsidR="00810549" w:rsidRDefault="0081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49" w:rsidRDefault="00810549">
      <w:r>
        <w:separator/>
      </w:r>
    </w:p>
  </w:footnote>
  <w:footnote w:type="continuationSeparator" w:id="0">
    <w:p w:rsidR="00810549" w:rsidRDefault="0081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5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5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AF0781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8105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D94"/>
    <w:multiLevelType w:val="hybridMultilevel"/>
    <w:tmpl w:val="016CE8A4"/>
    <w:lvl w:ilvl="0" w:tplc="58E47BE6">
      <w:start w:val="1"/>
      <w:numFmt w:val="decimal"/>
      <w:lvlText w:val="%1."/>
      <w:lvlJc w:val="left"/>
      <w:pPr>
        <w:ind w:left="4329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CA3833"/>
    <w:multiLevelType w:val="hybridMultilevel"/>
    <w:tmpl w:val="7EB8E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41906"/>
    <w:multiLevelType w:val="hybridMultilevel"/>
    <w:tmpl w:val="5178EE44"/>
    <w:lvl w:ilvl="0" w:tplc="0419000F">
      <w:start w:val="1"/>
      <w:numFmt w:val="decimal"/>
      <w:lvlText w:val="%1."/>
      <w:lvlJc w:val="left"/>
      <w:pPr>
        <w:ind w:left="10075" w:hanging="360"/>
      </w:pPr>
    </w:lvl>
    <w:lvl w:ilvl="1" w:tplc="04190019" w:tentative="1">
      <w:start w:val="1"/>
      <w:numFmt w:val="lowerLetter"/>
      <w:lvlText w:val="%2."/>
      <w:lvlJc w:val="left"/>
      <w:pPr>
        <w:ind w:left="10795" w:hanging="360"/>
      </w:pPr>
    </w:lvl>
    <w:lvl w:ilvl="2" w:tplc="0419001B" w:tentative="1">
      <w:start w:val="1"/>
      <w:numFmt w:val="lowerRoman"/>
      <w:lvlText w:val="%3."/>
      <w:lvlJc w:val="right"/>
      <w:pPr>
        <w:ind w:left="11515" w:hanging="180"/>
      </w:pPr>
    </w:lvl>
    <w:lvl w:ilvl="3" w:tplc="0419000F" w:tentative="1">
      <w:start w:val="1"/>
      <w:numFmt w:val="decimal"/>
      <w:lvlText w:val="%4."/>
      <w:lvlJc w:val="left"/>
      <w:pPr>
        <w:ind w:left="12235" w:hanging="360"/>
      </w:pPr>
    </w:lvl>
    <w:lvl w:ilvl="4" w:tplc="04190019" w:tentative="1">
      <w:start w:val="1"/>
      <w:numFmt w:val="lowerLetter"/>
      <w:lvlText w:val="%5."/>
      <w:lvlJc w:val="left"/>
      <w:pPr>
        <w:ind w:left="12955" w:hanging="360"/>
      </w:pPr>
    </w:lvl>
    <w:lvl w:ilvl="5" w:tplc="0419001B" w:tentative="1">
      <w:start w:val="1"/>
      <w:numFmt w:val="lowerRoman"/>
      <w:lvlText w:val="%6."/>
      <w:lvlJc w:val="right"/>
      <w:pPr>
        <w:ind w:left="13675" w:hanging="180"/>
      </w:pPr>
    </w:lvl>
    <w:lvl w:ilvl="6" w:tplc="0419000F" w:tentative="1">
      <w:start w:val="1"/>
      <w:numFmt w:val="decimal"/>
      <w:lvlText w:val="%7."/>
      <w:lvlJc w:val="left"/>
      <w:pPr>
        <w:ind w:left="14395" w:hanging="360"/>
      </w:pPr>
    </w:lvl>
    <w:lvl w:ilvl="7" w:tplc="04190019" w:tentative="1">
      <w:start w:val="1"/>
      <w:numFmt w:val="lowerLetter"/>
      <w:lvlText w:val="%8."/>
      <w:lvlJc w:val="left"/>
      <w:pPr>
        <w:ind w:left="15115" w:hanging="360"/>
      </w:pPr>
    </w:lvl>
    <w:lvl w:ilvl="8" w:tplc="0419001B" w:tentative="1">
      <w:start w:val="1"/>
      <w:numFmt w:val="lowerRoman"/>
      <w:lvlText w:val="%9."/>
      <w:lvlJc w:val="right"/>
      <w:pPr>
        <w:ind w:left="15835" w:hanging="180"/>
      </w:pPr>
    </w:lvl>
  </w:abstractNum>
  <w:abstractNum w:abstractNumId="3" w15:restartNumberingAfterBreak="0">
    <w:nsid w:val="3C2C1A0A"/>
    <w:multiLevelType w:val="multilevel"/>
    <w:tmpl w:val="63F8C0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E74741"/>
    <w:multiLevelType w:val="hybridMultilevel"/>
    <w:tmpl w:val="72047B5A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5" w15:restartNumberingAfterBreak="0">
    <w:nsid w:val="41A053D1"/>
    <w:multiLevelType w:val="multilevel"/>
    <w:tmpl w:val="CD141A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5C0699"/>
    <w:multiLevelType w:val="hybridMultilevel"/>
    <w:tmpl w:val="90F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3295"/>
    <w:multiLevelType w:val="hybridMultilevel"/>
    <w:tmpl w:val="46B64C12"/>
    <w:lvl w:ilvl="0" w:tplc="FE327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311D8"/>
    <w:multiLevelType w:val="hybridMultilevel"/>
    <w:tmpl w:val="4DAC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216B"/>
    <w:rsid w:val="00017E91"/>
    <w:rsid w:val="00050C10"/>
    <w:rsid w:val="00075CB6"/>
    <w:rsid w:val="000952ED"/>
    <w:rsid w:val="000A00CA"/>
    <w:rsid w:val="000A5D08"/>
    <w:rsid w:val="000B6353"/>
    <w:rsid w:val="000C5ECD"/>
    <w:rsid w:val="000E2971"/>
    <w:rsid w:val="00124AFD"/>
    <w:rsid w:val="0015361E"/>
    <w:rsid w:val="0017103E"/>
    <w:rsid w:val="001915A3"/>
    <w:rsid w:val="00192EF8"/>
    <w:rsid w:val="001F5E5A"/>
    <w:rsid w:val="00217F62"/>
    <w:rsid w:val="002465B6"/>
    <w:rsid w:val="00271CC3"/>
    <w:rsid w:val="002F037F"/>
    <w:rsid w:val="003001DD"/>
    <w:rsid w:val="0039036C"/>
    <w:rsid w:val="003C65FB"/>
    <w:rsid w:val="003F0FE7"/>
    <w:rsid w:val="004228F3"/>
    <w:rsid w:val="0043550B"/>
    <w:rsid w:val="004A0299"/>
    <w:rsid w:val="00532500"/>
    <w:rsid w:val="005D17FE"/>
    <w:rsid w:val="0060465C"/>
    <w:rsid w:val="006245FE"/>
    <w:rsid w:val="006A2283"/>
    <w:rsid w:val="006B3B74"/>
    <w:rsid w:val="00722B23"/>
    <w:rsid w:val="00746FF0"/>
    <w:rsid w:val="00781DD5"/>
    <w:rsid w:val="007901AC"/>
    <w:rsid w:val="007A10F4"/>
    <w:rsid w:val="007B1742"/>
    <w:rsid w:val="00810549"/>
    <w:rsid w:val="00830DFD"/>
    <w:rsid w:val="008955D9"/>
    <w:rsid w:val="008A4F5F"/>
    <w:rsid w:val="008A6220"/>
    <w:rsid w:val="008F198D"/>
    <w:rsid w:val="00903079"/>
    <w:rsid w:val="00923938"/>
    <w:rsid w:val="009405A7"/>
    <w:rsid w:val="0096220F"/>
    <w:rsid w:val="009731D8"/>
    <w:rsid w:val="0098509A"/>
    <w:rsid w:val="00A07C69"/>
    <w:rsid w:val="00A526F2"/>
    <w:rsid w:val="00A56F2C"/>
    <w:rsid w:val="00A730F9"/>
    <w:rsid w:val="00A906D8"/>
    <w:rsid w:val="00AB5A74"/>
    <w:rsid w:val="00AF0070"/>
    <w:rsid w:val="00AF0781"/>
    <w:rsid w:val="00B46F08"/>
    <w:rsid w:val="00B54837"/>
    <w:rsid w:val="00B84A93"/>
    <w:rsid w:val="00BC68E9"/>
    <w:rsid w:val="00BD2DFB"/>
    <w:rsid w:val="00C34D0E"/>
    <w:rsid w:val="00C42539"/>
    <w:rsid w:val="00C84DDE"/>
    <w:rsid w:val="00CA6B59"/>
    <w:rsid w:val="00CE3AD2"/>
    <w:rsid w:val="00D30F3F"/>
    <w:rsid w:val="00D320E2"/>
    <w:rsid w:val="00D61BA5"/>
    <w:rsid w:val="00D81127"/>
    <w:rsid w:val="00DA6F19"/>
    <w:rsid w:val="00DF64BC"/>
    <w:rsid w:val="00E04AD8"/>
    <w:rsid w:val="00E42875"/>
    <w:rsid w:val="00E4409F"/>
    <w:rsid w:val="00E472DA"/>
    <w:rsid w:val="00E642C5"/>
    <w:rsid w:val="00EB68DE"/>
    <w:rsid w:val="00EC35F0"/>
    <w:rsid w:val="00ED0D5C"/>
    <w:rsid w:val="00EE3B3C"/>
    <w:rsid w:val="00F041C3"/>
    <w:rsid w:val="00F071AE"/>
    <w:rsid w:val="00F3052E"/>
    <w:rsid w:val="00F66718"/>
    <w:rsid w:val="00F678CD"/>
    <w:rsid w:val="00F972DC"/>
    <w:rsid w:val="00FA66EE"/>
    <w:rsid w:val="00FB134C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E25B-BE71-4F61-8B29-5A2996C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2">
    <w:name w:val="List Paragraph"/>
    <w:basedOn w:val="a"/>
    <w:qFormat/>
    <w:rsid w:val="000A5D08"/>
    <w:pPr>
      <w:suppressAutoHyphens/>
      <w:spacing w:before="120" w:after="120"/>
      <w:ind w:left="708"/>
      <w:jc w:val="both"/>
    </w:pPr>
    <w:rPr>
      <w:rFonts w:eastAsia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67E8-5B2A-49BA-9BF3-2CE1219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HP Inc.</cp:lastModifiedBy>
  <cp:revision>53</cp:revision>
  <dcterms:created xsi:type="dcterms:W3CDTF">2016-10-17T10:45:00Z</dcterms:created>
  <dcterms:modified xsi:type="dcterms:W3CDTF">2019-02-05T10:24:00Z</dcterms:modified>
</cp:coreProperties>
</file>